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C45B" w14:textId="5AA5E365" w:rsidR="006B1ECD" w:rsidRPr="008E79FB" w:rsidRDefault="006B1ECD" w:rsidP="008E79FB">
      <w:pPr>
        <w:spacing w:before="72" w:after="120" w:line="336" w:lineRule="atLeast"/>
        <w:outlineLvl w:val="2"/>
        <w:rPr>
          <w:rFonts w:ascii="Arial" w:eastAsia="Times New Roman" w:hAnsi="Arial" w:cs="Arial"/>
          <w:b/>
          <w:bCs/>
          <w:color w:val="6496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b/>
          <w:bCs/>
          <w:color w:val="649600"/>
          <w:sz w:val="32"/>
          <w:szCs w:val="32"/>
          <w:lang w:eastAsia="de-DE"/>
        </w:rPr>
        <w:t>Publikation</w:t>
      </w:r>
      <w:r w:rsidR="00EB7348">
        <w:rPr>
          <w:rFonts w:ascii="Arial" w:eastAsia="Times New Roman" w:hAnsi="Arial" w:cs="Arial"/>
          <w:b/>
          <w:bCs/>
          <w:color w:val="649600"/>
          <w:sz w:val="32"/>
          <w:szCs w:val="32"/>
          <w:lang w:eastAsia="de-DE"/>
        </w:rPr>
        <w:t>sliste</w:t>
      </w:r>
      <w:r w:rsidRPr="001A1351">
        <w:rPr>
          <w:rFonts w:ascii="Arial" w:eastAsia="Times New Roman" w:hAnsi="Arial" w:cs="Arial"/>
          <w:b/>
          <w:bCs/>
          <w:color w:val="649600"/>
          <w:sz w:val="32"/>
          <w:szCs w:val="32"/>
          <w:lang w:eastAsia="de-DE"/>
        </w:rPr>
        <w:t xml:space="preserve"> von Jan-Hendrik Herbst</w:t>
      </w:r>
      <w:r w:rsidR="008E79FB">
        <w:rPr>
          <w:rFonts w:ascii="Arial" w:eastAsia="Times New Roman" w:hAnsi="Arial" w:cs="Arial"/>
          <w:b/>
          <w:bCs/>
          <w:color w:val="649600"/>
          <w:sz w:val="32"/>
          <w:szCs w:val="32"/>
          <w:lang w:eastAsia="de-DE"/>
        </w:rPr>
        <w:t xml:space="preserve"> </w:t>
      </w:r>
      <w:r w:rsidR="008E79FB">
        <w:rPr>
          <w:rFonts w:ascii="Arial" w:eastAsia="Times New Roman" w:hAnsi="Arial" w:cs="Arial"/>
          <w:b/>
          <w:bCs/>
          <w:color w:val="649600"/>
          <w:sz w:val="32"/>
          <w:szCs w:val="32"/>
          <w:lang w:eastAsia="de-DE"/>
        </w:rPr>
        <w:br/>
      </w:r>
      <w:r w:rsidR="008E79FB" w:rsidRPr="008E79FB">
        <w:rPr>
          <w:rFonts w:ascii="Arial" w:eastAsia="Times New Roman" w:hAnsi="Arial" w:cs="Arial"/>
          <w:b/>
          <w:bCs/>
          <w:color w:val="649600"/>
          <w:sz w:val="20"/>
          <w:szCs w:val="20"/>
          <w:lang w:eastAsia="de-DE"/>
        </w:rPr>
        <w:t xml:space="preserve">Stand: </w:t>
      </w:r>
      <w:r w:rsidR="00DF73CA">
        <w:rPr>
          <w:rFonts w:ascii="Arial" w:eastAsia="Times New Roman" w:hAnsi="Arial" w:cs="Arial"/>
          <w:b/>
          <w:bCs/>
          <w:color w:val="649600"/>
          <w:sz w:val="20"/>
          <w:szCs w:val="20"/>
          <w:lang w:eastAsia="de-DE"/>
        </w:rPr>
        <w:t>4. Januar 2021</w:t>
      </w:r>
    </w:p>
    <w:p w14:paraId="0946A909" w14:textId="77777777" w:rsidR="006B1ECD" w:rsidRPr="001A1351" w:rsidRDefault="006B1ECD" w:rsidP="0081099C">
      <w:pPr>
        <w:spacing w:before="240" w:after="120" w:line="240" w:lineRule="auto"/>
        <w:jc w:val="both"/>
        <w:outlineLvl w:val="4"/>
        <w:rPr>
          <w:rFonts w:ascii="Arial" w:eastAsia="Times New Roman" w:hAnsi="Arial" w:cs="Arial"/>
          <w:color w:val="649600"/>
          <w:sz w:val="32"/>
          <w:szCs w:val="32"/>
          <w:lang w:eastAsia="de-DE"/>
        </w:rPr>
      </w:pPr>
      <w:proofErr w:type="gramStart"/>
      <w:r w:rsidRPr="001A1351">
        <w:rPr>
          <w:rFonts w:ascii="Arial" w:eastAsia="Times New Roman" w:hAnsi="Arial" w:cs="Arial"/>
          <w:color w:val="649600"/>
          <w:sz w:val="32"/>
          <w:szCs w:val="32"/>
          <w:lang w:eastAsia="de-DE"/>
        </w:rPr>
        <w:t>Monographien</w:t>
      </w:r>
      <w:proofErr w:type="gramEnd"/>
      <w:r w:rsidRPr="001A1351">
        <w:rPr>
          <w:rFonts w:ascii="Arial" w:eastAsia="Times New Roman" w:hAnsi="Arial" w:cs="Arial"/>
          <w:color w:val="649600"/>
          <w:sz w:val="32"/>
          <w:szCs w:val="32"/>
          <w:lang w:eastAsia="de-DE"/>
        </w:rPr>
        <w:t>, Herausgeberschaften und Mitarbeiten</w:t>
      </w:r>
    </w:p>
    <w:p w14:paraId="76CF66CD" w14:textId="790106B0" w:rsidR="006B1ECD" w:rsidRDefault="006B1ECD" w:rsidP="0081099C">
      <w:pPr>
        <w:numPr>
          <w:ilvl w:val="0"/>
          <w:numId w:val="11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7003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r w:rsidRPr="003A7003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AC3AE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AC3AE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AC3AE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="00C72015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Kritisch-emanzipatorische Religionspädagogik</w:t>
      </w:r>
      <w:r w:rsidR="00D30C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Diskurse zwischen Theologie, Pädagogik und Politischer Bildung.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Wiesbaden: Springer.</w:t>
      </w:r>
    </w:p>
    <w:p w14:paraId="785CF25F" w14:textId="2DDA4CEA" w:rsidR="00437BAC" w:rsidRPr="00437BAC" w:rsidRDefault="00251DA6" w:rsidP="00AE7803">
      <w:pPr>
        <w:pStyle w:val="Listenabsatz"/>
        <w:numPr>
          <w:ilvl w:val="0"/>
          <w:numId w:val="11"/>
        </w:numPr>
        <w:spacing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37BAC">
        <w:rPr>
          <w:rFonts w:ascii="Arial" w:eastAsia="Times New Roman" w:hAnsi="Arial" w:cs="Arial"/>
          <w:i/>
          <w:iCs/>
          <w:color w:val="000000"/>
          <w:sz w:val="18"/>
          <w:szCs w:val="18"/>
          <w:lang w:eastAsia="de-DE"/>
        </w:rPr>
        <w:t>Rezensionen</w:t>
      </w:r>
      <w:r w:rsidRPr="00437BA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: </w:t>
      </w:r>
      <w:hyperlink r:id="rId5" w:history="1">
        <w:r w:rsidR="008635A5" w:rsidRPr="00437BAC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 xml:space="preserve">Josef Becker (2020). In: </w:t>
        </w:r>
        <w:proofErr w:type="spellStart"/>
        <w:r w:rsidR="008635A5" w:rsidRPr="00437BAC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Amosinternational</w:t>
        </w:r>
        <w:proofErr w:type="spellEnd"/>
        <w:r w:rsidR="008635A5" w:rsidRPr="00437BAC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 xml:space="preserve"> 14/1, 50-51</w:t>
        </w:r>
      </w:hyperlink>
      <w:r w:rsidR="008635A5" w:rsidRPr="00437BA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; </w:t>
      </w:r>
      <w:hyperlink r:id="rId6" w:history="1">
        <w:r w:rsidR="008635A5" w:rsidRPr="00437BAC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 xml:space="preserve">Benjamin Ahme (2020): Religionspädagogische Zeitreisen: Wieviel Zukunft steckt in </w:t>
        </w:r>
        <w:r w:rsidR="001314AF" w:rsidRPr="00437BAC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den ‘68ern? In: Feinschwarz.net</w:t>
        </w:r>
      </w:hyperlink>
      <w:r w:rsidR="001314AF" w:rsidRPr="00437BA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; </w:t>
      </w:r>
      <w:hyperlink r:id="rId7" w:history="1">
        <w:r w:rsidR="001314AF" w:rsidRPr="00437BAC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 xml:space="preserve">Johannes Heger (2020). In: </w:t>
        </w:r>
        <w:proofErr w:type="spellStart"/>
        <w:r w:rsidR="001314AF" w:rsidRPr="00437BAC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ThPQ</w:t>
        </w:r>
        <w:proofErr w:type="spellEnd"/>
        <w:r w:rsidR="001314AF" w:rsidRPr="00437BAC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 xml:space="preserve"> 168, 413-415</w:t>
        </w:r>
      </w:hyperlink>
      <w:r w:rsidR="001314AF" w:rsidRPr="00437BA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; </w:t>
      </w:r>
      <w:r w:rsidR="00BC147F" w:rsidRPr="00437BA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Marc Heidkamp (2020). In: Wort und Antwort 61, H. 4, 187-188; </w:t>
      </w:r>
      <w:hyperlink r:id="rId8" w:history="1">
        <w:r w:rsidR="00BC147F" w:rsidRPr="00437BAC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 xml:space="preserve">Antje Roggenkamp (2020). In: </w:t>
        </w:r>
        <w:proofErr w:type="spellStart"/>
        <w:r w:rsidR="00BC147F" w:rsidRPr="00437BAC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Socialnet</w:t>
        </w:r>
        <w:proofErr w:type="spellEnd"/>
      </w:hyperlink>
      <w:r w:rsidR="00BC147F" w:rsidRPr="00437BA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; </w:t>
      </w:r>
      <w:hyperlink r:id="rId9" w:history="1">
        <w:r w:rsidR="00BC147F" w:rsidRPr="00437BAC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Christian Feichtinger (2020). In: ÖRF 28, H. 2, 254-258</w:t>
        </w:r>
      </w:hyperlink>
      <w:r w:rsidR="00437BAC" w:rsidRPr="00437BA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; Fredrik Kempf (2020). In: Politikum 4, 76.</w:t>
      </w:r>
    </w:p>
    <w:p w14:paraId="0DA7D0F2" w14:textId="09EDEDA4" w:rsidR="006B1ECD" w:rsidRPr="001A1351" w:rsidRDefault="006B1ECD" w:rsidP="0051745C">
      <w:pPr>
        <w:numPr>
          <w:ilvl w:val="0"/>
          <w:numId w:val="11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7003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Hans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Anna / </w:t>
      </w:r>
      <w:r w:rsidRPr="003A7003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/ </w:t>
      </w:r>
      <w:r w:rsidRPr="003A7003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Többen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Anna</w:t>
      </w:r>
      <w:r w:rsidR="00C72015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r w:rsidR="00011FB9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Mein Religionsunterricht in einer pluralen Gesellschaft. Zum Verhältnis von Kirche und Staat (Klasse 10–13). Unter Mitarbeit von Nora Becker und Johannes Schmoldt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EinFach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Religion). Braunschweig: Westermann </w:t>
      </w:r>
      <w:r w:rsidR="005E6D4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i.E</w:t>
      </w:r>
      <w:r w:rsidR="005E6D4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proofErr w:type="spellEnd"/>
      <w:r w:rsidR="005E6D4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7A077ACC" w14:textId="7999D270" w:rsidR="006B1ECD" w:rsidRPr="001A1351" w:rsidRDefault="006B1ECD" w:rsidP="0081099C">
      <w:pPr>
        <w:numPr>
          <w:ilvl w:val="0"/>
          <w:numId w:val="11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7003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(2016): Kritische Theorie der Moralentwicklung. Eine interdisziplinäre Untersuchung moralischer Urteile bei Jugendlichen </w:t>
      </w:r>
      <w:r w:rsidR="00D30C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(=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Pontes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65</w:t>
      </w:r>
      <w:r w:rsidR="00D30C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D30C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Berlin / Münster: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LIT.</w:t>
      </w:r>
    </w:p>
    <w:p w14:paraId="0BFEEEBB" w14:textId="15B7A6A7" w:rsidR="006B1ECD" w:rsidRDefault="006B1ECD" w:rsidP="0081099C">
      <w:pPr>
        <w:numPr>
          <w:ilvl w:val="0"/>
          <w:numId w:val="11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3A7003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Enxing</w:t>
      </w:r>
      <w:proofErr w:type="spellEnd"/>
      <w:r w:rsidR="00D30C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Julia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.) (2015): Schuld. Theologische Erkundungen eines unbequemen Phänomens. Unter Mitarbeit von Vanessa Görtz-Meiners und Jan-Hendrik Herbst. </w:t>
      </w:r>
      <w:r w:rsidR="00D30C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Ostfildern: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Grünewald.</w:t>
      </w:r>
    </w:p>
    <w:p w14:paraId="3F04CC7E" w14:textId="22FA5F7F" w:rsidR="00AD7BAA" w:rsidRPr="00AD7BAA" w:rsidRDefault="00AD7BAA" w:rsidP="00AD7BAA">
      <w:pPr>
        <w:spacing w:after="0" w:line="336" w:lineRule="atLeast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AD7BAA">
        <w:rPr>
          <w:rFonts w:ascii="Arial" w:eastAsia="Times New Roman" w:hAnsi="Arial" w:cs="Arial"/>
          <w:i/>
          <w:iCs/>
          <w:color w:val="000000"/>
          <w:sz w:val="18"/>
          <w:szCs w:val="18"/>
          <w:lang w:eastAsia="de-DE"/>
        </w:rPr>
        <w:t>Rezensionen</w:t>
      </w:r>
      <w:r w:rsidRPr="00AD7BA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: Irene Leicht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Pr="00AD7BA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(2015), in: Christ in der Gegenwart 21</w:t>
      </w:r>
      <w:r w:rsidR="00EA776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</w:t>
      </w:r>
      <w:r w:rsidRPr="00AD7BA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234; Tobias Braune-</w:t>
      </w:r>
      <w:proofErr w:type="spellStart"/>
      <w:r w:rsidRPr="00AD7BA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Krickau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(2015)</w:t>
      </w:r>
      <w:r w:rsidRPr="00AD7BA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, in: </w:t>
      </w:r>
      <w:proofErr w:type="spellStart"/>
      <w:r w:rsidRPr="00AD7BA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zeitzeichen</w:t>
      </w:r>
      <w:proofErr w:type="spellEnd"/>
      <w:r w:rsidRPr="00AD7BA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9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</w:t>
      </w:r>
      <w:r w:rsidRPr="00AD7BA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63–64; Wolfgang Baum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(2016)</w:t>
      </w:r>
      <w:r w:rsidRPr="00AD7BA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 in: Theologische Revue 112/3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</w:t>
      </w:r>
      <w:r w:rsidRPr="00AD7BA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228–229.</w:t>
      </w:r>
    </w:p>
    <w:p w14:paraId="4E1930E8" w14:textId="35EBAF8F" w:rsidR="006B1ECD" w:rsidRPr="001A1351" w:rsidRDefault="007509E7" w:rsidP="0081099C">
      <w:pPr>
        <w:spacing w:before="240" w:after="120" w:line="240" w:lineRule="auto"/>
        <w:jc w:val="both"/>
        <w:outlineLvl w:val="4"/>
        <w:rPr>
          <w:rFonts w:ascii="Arial" w:eastAsia="Times New Roman" w:hAnsi="Arial" w:cs="Arial"/>
          <w:color w:val="649600"/>
          <w:sz w:val="32"/>
          <w:szCs w:val="32"/>
          <w:lang w:eastAsia="de-DE"/>
        </w:rPr>
      </w:pPr>
      <w:r>
        <w:rPr>
          <w:rFonts w:ascii="Arial" w:eastAsia="Times New Roman" w:hAnsi="Arial" w:cs="Arial"/>
          <w:color w:val="649600"/>
          <w:sz w:val="32"/>
          <w:szCs w:val="32"/>
          <w:lang w:eastAsia="de-DE"/>
        </w:rPr>
        <w:t>Begutachtete Artikel</w:t>
      </w:r>
    </w:p>
    <w:p w14:paraId="7BCC5447" w14:textId="77777777" w:rsidR="00753D92" w:rsidRPr="001A1351" w:rsidRDefault="00753D92" w:rsidP="00DF5569">
      <w:pPr>
        <w:numPr>
          <w:ilvl w:val="0"/>
          <w:numId w:val="1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Hlk45179005"/>
      <w:r w:rsidRPr="003A7003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 (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2021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): Politische Religionspädagogik in transnationaler Perspektive. Rekonstruktion von Grundlinien des Wissenstransfers in der katholischen Religionspädagogik der langen 1960er-Jahre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ZPT –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eingereicht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44A02F3A" w14:textId="387088E1" w:rsidR="00C07E9C" w:rsidRDefault="00753D92" w:rsidP="00C07E9C">
      <w:pPr>
        <w:numPr>
          <w:ilvl w:val="0"/>
          <w:numId w:val="1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A7003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4B2B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</w:t>
      </w:r>
      <w:r w:rsidRPr="004B2B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3A7003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Menne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Andreas</w:t>
      </w:r>
      <w:r w:rsidRPr="004B2B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(2020): Vox populi </w:t>
      </w:r>
      <w:proofErr w:type="spellStart"/>
      <w:r w:rsidRPr="004B2B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vox</w:t>
      </w:r>
      <w:proofErr w:type="spellEnd"/>
      <w:r w:rsidRPr="004B2B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B2B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dei</w:t>
      </w:r>
      <w:proofErr w:type="spellEnd"/>
      <w:r w:rsidRPr="004B2B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? Theoretische Orientierungspunkte für religiöse Bildung in Zeiten des Populismus. In: Theo-Web</w:t>
      </w:r>
      <w:r w:rsidR="00C07E9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19</w:t>
      </w:r>
      <w:r w:rsidR="00C07E9C" w:rsidRPr="00C07E9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H.2, </w:t>
      </w:r>
      <w:r w:rsidR="00C07E9C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 xml:space="preserve">S. </w:t>
      </w:r>
      <w:r w:rsidR="00C07E9C" w:rsidRPr="00C07E9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167</w:t>
      </w:r>
      <w:r w:rsidR="00C07E9C" w:rsidRPr="00ED2A5D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>–</w:t>
      </w:r>
      <w:r w:rsidR="00C07E9C" w:rsidRPr="00C07E9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182</w:t>
      </w:r>
      <w:r w:rsidR="00C07E9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0C925041" w14:textId="0A8D7061" w:rsidR="00423058" w:rsidRPr="00ED2A5D" w:rsidRDefault="00423058" w:rsidP="00ED2A5D">
      <w:pPr>
        <w:numPr>
          <w:ilvl w:val="0"/>
          <w:numId w:val="1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val="en-AU" w:eastAsia="de-DE"/>
        </w:rPr>
        <w:t>Herbst</w:t>
      </w:r>
      <w:r w:rsidRPr="00ED2A5D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 xml:space="preserve">, Jan-Hendrik (2020): </w:t>
      </w:r>
      <w:r w:rsidR="0064008F" w:rsidRPr="00ED2A5D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>Controversies on “Public Religious Pedagogy”. Religious Education in Times of Post-Democratic Populism, Global Warming and Economization of Education</w:t>
      </w:r>
      <w:r w:rsidR="004523AA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>.</w:t>
      </w:r>
      <w:r w:rsidR="008D26AF" w:rsidRPr="00ED2A5D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 xml:space="preserve"> </w:t>
      </w:r>
      <w:r w:rsidR="004523AA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>I</w:t>
      </w:r>
      <w:r w:rsidR="008D26AF" w:rsidRPr="00095EA5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>n</w:t>
      </w:r>
      <w:r w:rsidR="008D26AF" w:rsidRPr="00ED2A5D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 xml:space="preserve">: Journal of Religious Education </w:t>
      </w:r>
      <w:r w:rsidR="00ED2A5D" w:rsidRPr="00ED2A5D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 xml:space="preserve">68, </w:t>
      </w:r>
      <w:r w:rsidR="004523AA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 xml:space="preserve">S. </w:t>
      </w:r>
      <w:r w:rsidR="00ED2A5D" w:rsidRPr="00ED2A5D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>29–41</w:t>
      </w:r>
      <w:r w:rsidR="008D26AF" w:rsidRPr="00ED2A5D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>.</w:t>
      </w:r>
    </w:p>
    <w:p w14:paraId="738AF69F" w14:textId="2220C044" w:rsidR="006E4B97" w:rsidRPr="001A1351" w:rsidRDefault="006E4B97" w:rsidP="006E4B97">
      <w:pPr>
        <w:numPr>
          <w:ilvl w:val="0"/>
          <w:numId w:val="1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C72015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Vom Overhead-Projektor zu Big Data-Analytics? Ideologiekritische Perspektiven auf die Digitalisierung des R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ÖRF 2</w:t>
      </w:r>
      <w:r w:rsidR="009716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8/1,</w:t>
      </w:r>
      <w:r w:rsidR="00AD3FD2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="00971606" w:rsidRPr="009716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179</w:t>
      </w:r>
      <w:r w:rsidR="00971606" w:rsidRP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971606" w:rsidRPr="009716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196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0F7917E1" w14:textId="4EA4EC16" w:rsidR="004E628B" w:rsidRPr="001A1351" w:rsidRDefault="004E628B" w:rsidP="004E628B">
      <w:pPr>
        <w:numPr>
          <w:ilvl w:val="0"/>
          <w:numId w:val="1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F3620E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(2019)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Offenbarung aus einem „brennenden Dornbusch im Schwarzwald“ (G. Steffens)? Der Beutelsbacher Konsens und seine religionspädagogische Rezeption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Theo-Web 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18/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S. 147–162.</w:t>
      </w:r>
    </w:p>
    <w:p w14:paraId="37761E3B" w14:textId="002599B1" w:rsidR="006B1ECD" w:rsidRPr="001A1351" w:rsidRDefault="006B1ECD" w:rsidP="0081099C">
      <w:pPr>
        <w:numPr>
          <w:ilvl w:val="0"/>
          <w:numId w:val="1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lastRenderedPageBreak/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F3620E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(2019)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Konturen einer </w:t>
      </w:r>
      <w:r w:rsidR="00506168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‚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neuen politischen Religionspädagogik</w:t>
      </w:r>
      <w:r w:rsidR="00506168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‘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? Begriffstheoretische Betrachtungen einer zerfaserten Debatte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ÖRF 27</w:t>
      </w:r>
      <w:r w:rsidR="009716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/1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28</w:t>
      </w:r>
      <w:r w:rsidR="00971606" w:rsidRPr="00ED2A5D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41.</w:t>
      </w:r>
    </w:p>
    <w:p w14:paraId="49729121" w14:textId="50A2823E" w:rsidR="006B1ECD" w:rsidRPr="001A1351" w:rsidRDefault="006B1ECD" w:rsidP="0081099C">
      <w:pPr>
        <w:numPr>
          <w:ilvl w:val="0"/>
          <w:numId w:val="1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/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Menne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Andreas</w:t>
      </w:r>
      <w:r w:rsidR="00F3620E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(2019)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Ideologiekritik im Religionsunterricht? Wiederbelebungsversuch eines religionsdidaktischen Lernprinzips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ÖRF 27</w:t>
      </w:r>
      <w:r w:rsidR="009716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/1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4523A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89</w:t>
      </w:r>
      <w:r w:rsidR="00971606" w:rsidRPr="00ED2A5D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105.</w:t>
      </w:r>
    </w:p>
    <w:bookmarkEnd w:id="0"/>
    <w:p w14:paraId="4B3674B5" w14:textId="77777777" w:rsidR="006B1ECD" w:rsidRPr="001A1351" w:rsidRDefault="006B1ECD" w:rsidP="0081099C">
      <w:pPr>
        <w:spacing w:before="240" w:after="120" w:line="240" w:lineRule="auto"/>
        <w:jc w:val="both"/>
        <w:outlineLvl w:val="4"/>
        <w:rPr>
          <w:rFonts w:ascii="Arial" w:eastAsia="Times New Roman" w:hAnsi="Arial" w:cs="Arial"/>
          <w:color w:val="649600"/>
          <w:sz w:val="32"/>
          <w:szCs w:val="32"/>
          <w:lang w:eastAsia="de-DE"/>
        </w:rPr>
      </w:pPr>
      <w:r w:rsidRPr="001A1351">
        <w:rPr>
          <w:rFonts w:ascii="Arial" w:eastAsia="Times New Roman" w:hAnsi="Arial" w:cs="Arial"/>
          <w:color w:val="649600"/>
          <w:sz w:val="32"/>
          <w:szCs w:val="32"/>
          <w:lang w:eastAsia="de-DE"/>
        </w:rPr>
        <w:t>Aufsätze und Buchbeiträge</w:t>
      </w:r>
    </w:p>
    <w:p w14:paraId="66456A52" w14:textId="77777777" w:rsidR="00851184" w:rsidRPr="001A1351" w:rsidRDefault="00851184" w:rsidP="0081099C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 (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2021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): Ist die ideologiekritische Religionspädagogik am Ende? Die Problemorientierte Konzeption der religionspädagogischen Reformdekade um 1968 auf dem Prüfstand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proofErr w:type="spellStart"/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Käbisch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David / </w:t>
      </w:r>
      <w:r w:rsidRPr="003D500A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Wischmeyer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Johannes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.): Wind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change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? „1968“ und „1989“ in der ost- und westdeutschen Religionspädagogik (AKHRP)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Leipzig: Evangelische Verlagsanstalt 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i.E.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).</w:t>
      </w:r>
    </w:p>
    <w:p w14:paraId="100CB0CC" w14:textId="072497DB" w:rsidR="00851184" w:rsidRDefault="00851184" w:rsidP="00801C70">
      <w:pPr>
        <w:numPr>
          <w:ilvl w:val="0"/>
          <w:numId w:val="1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01C70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801C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(2021</w:t>
      </w:r>
      <w:r w:rsidRPr="00801C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): Kontroversität und </w:t>
      </w:r>
      <w:proofErr w:type="spellStart"/>
      <w:r w:rsidRPr="00801C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Positionalität</w:t>
      </w:r>
      <w:proofErr w:type="spellEnd"/>
      <w:r w:rsidRPr="00801C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konfessionellen Religionsunterricht. Religionspädagogische Perspektiven auf den Beutelsbacher Konsens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In: </w:t>
      </w:r>
      <w:proofErr w:type="spellStart"/>
      <w:r w:rsidRPr="00396BC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Drerup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Johannes / </w:t>
      </w:r>
      <w:proofErr w:type="spellStart"/>
      <w:r w:rsidRPr="00396BC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Zulaica</w:t>
      </w:r>
      <w:proofErr w:type="spellEnd"/>
      <w:r w:rsidRPr="00396BC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 xml:space="preserve"> y </w:t>
      </w:r>
      <w:proofErr w:type="spellStart"/>
      <w:r w:rsidRPr="00396BC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Mugica</w:t>
      </w:r>
      <w:proofErr w:type="spellEnd"/>
      <w:r>
        <w:t xml:space="preserve">, Miguel / </w:t>
      </w:r>
      <w:proofErr w:type="spellStart"/>
      <w:r w:rsidRPr="00396BC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Yacek</w:t>
      </w:r>
      <w:proofErr w:type="spellEnd"/>
      <w:r>
        <w:t>, Douglas (</w:t>
      </w:r>
      <w:proofErr w:type="spellStart"/>
      <w:r>
        <w:t>Hg</w:t>
      </w:r>
      <w:proofErr w:type="spellEnd"/>
      <w:r>
        <w:t xml:space="preserve">.): Dürfen Lehrer ihre Meinung sagen? Demokratie, Bildung und der Streit über das </w:t>
      </w:r>
      <w:proofErr w:type="spellStart"/>
      <w:r>
        <w:t>Kontroversitätsgebot</w:t>
      </w:r>
      <w:proofErr w:type="spellEnd"/>
      <w:r>
        <w:t>. Stuttgart: Kohlhammer (</w:t>
      </w:r>
      <w:proofErr w:type="spellStart"/>
      <w:r w:rsidRPr="00801C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i.E.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).</w:t>
      </w:r>
    </w:p>
    <w:p w14:paraId="51E72FE4" w14:textId="77777777" w:rsidR="00851184" w:rsidRPr="001A1351" w:rsidRDefault="00851184" w:rsidP="0081099C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 (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2021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): Lebendiges Lernen ist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Biografieförderung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Die politische Dimension der TZI entfaltet an immanenter Kritik des Bildungsverständnisses vom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Cusanuswerk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proofErr w:type="spellStart"/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Hölcke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Kai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.): Projektberichte in der TZI-Grundausbildung.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i,E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)?</w:t>
      </w:r>
    </w:p>
    <w:p w14:paraId="2D2516FF" w14:textId="77777777" w:rsidR="00851184" w:rsidRPr="00BD4C9D" w:rsidRDefault="00851184" w:rsidP="00C90856">
      <w:pPr>
        <w:numPr>
          <w:ilvl w:val="0"/>
          <w:numId w:val="1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/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Holbein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Christoph (2021): Ein drittes Postulat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Schneider-</w:t>
      </w:r>
      <w:proofErr w:type="spellStart"/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Landolf</w:t>
      </w:r>
      <w:proofErr w:type="spellEnd"/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Mina /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Spielmann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Jochen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Zitterbarth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Walter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.): Handbuch Themenzentrierte Interaktion (TZI)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Komplett überarbeitete Neuauflage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Göttingen: Vandenhoeck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&amp;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BD4C9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Ruprecht </w:t>
      </w:r>
      <w:r>
        <w:t>(</w:t>
      </w:r>
      <w:proofErr w:type="spellStart"/>
      <w:r w:rsidRPr="00801C7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i.E.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).</w:t>
      </w:r>
    </w:p>
    <w:p w14:paraId="02EFEDF6" w14:textId="77777777" w:rsidR="00851184" w:rsidRPr="001A1351" w:rsidRDefault="00851184" w:rsidP="0081099C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836B1F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Menne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Andreas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2021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): ‚Konfliktstoff Kopftuch‘? Möglichkeiten einer Reflexion populistischer Identitätspolitik im Religionsunterricht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Pohl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Kerstin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et al. 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.): Herausforderungen durch Populismus – Antworten aus Fachdidaktik und Bildungswissenschaft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Schwalbach am Taunus: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Wochenschau 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i.E.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).</w:t>
      </w:r>
    </w:p>
    <w:p w14:paraId="348047E0" w14:textId="1EE3D661" w:rsidR="00695B6A" w:rsidRPr="001A1351" w:rsidRDefault="00695B6A" w:rsidP="002F7F28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16174D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Zurück zu einer kritisch-emanzipatorischen Religionspädagogik? Religiöse Bildung in Zeiten sozialer Umbrüche und Krisen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R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eligions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ädagogische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eiträge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82</w:t>
      </w:r>
      <w:r w:rsidR="00D43361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H.1, 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S.</w:t>
      </w:r>
      <w:r w:rsidR="00D43361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77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D43361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</w:t>
      </w:r>
      <w:r w:rsidR="00D43361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DC5EB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14:paraId="64963476" w14:textId="43B962CD" w:rsidR="00695B6A" w:rsidRPr="001A1351" w:rsidRDefault="00695B6A" w:rsidP="002F7F28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CE2DF2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Populismus und religiöse Bildung: Zur politischen Dimension der Religionspädagogik in Zeiten der Demokratiekrise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Neuhäuser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Christian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</w:t>
      </w:r>
      <w:r w:rsidR="00A27C1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A27C11"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Vorholt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Udo (</w:t>
      </w:r>
      <w:proofErr w:type="spellStart"/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Religion und Politik International (= Dortmunder politisch-philosophische Diskurse</w:t>
      </w:r>
      <w:r w:rsidR="00A27C1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17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A27C1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Bochum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A27C1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A27C1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Freiburg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Breisgau</w:t>
      </w:r>
      <w:r w:rsidR="00A27C1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Projektverlag, 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="00A27C1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83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A27C1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108.</w:t>
      </w:r>
    </w:p>
    <w:p w14:paraId="23A828F0" w14:textId="121EC74D" w:rsidR="00695B6A" w:rsidRPr="001A1351" w:rsidRDefault="00695B6A" w:rsidP="002F7F28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D15309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Einleitung: Zurück in die Zukunft? 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Dies.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Kritisch-emanzipatorische Religionspädagogik. Diskurse zwischen Theologie, Pädagogik und Politischer Bildung, Wiesbaden: Springer</w:t>
      </w:r>
      <w:r w:rsidR="00D15309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="00D15309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</w:t>
      </w:r>
      <w:r w:rsidR="000853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D15309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20.</w:t>
      </w:r>
    </w:p>
    <w:p w14:paraId="053745A0" w14:textId="69DAEC84" w:rsidR="00695B6A" w:rsidRPr="002B3C0B" w:rsidRDefault="00695B6A" w:rsidP="002F7F28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D15309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15309" w:rsidRP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(2020)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Die religionspädagogische Reformdekade um 1968: Retrospektionen und Rekonstruktionen (Hinführung I)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proofErr w:type="spellStart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Ders</w:t>
      </w:r>
      <w:proofErr w:type="spellEnd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.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Kritisch-emanzipatorische Religionspädagogik. Diskurse zwischen Theologie, Pädagogik und Politischer Bildung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Wiesbaden: Springer</w:t>
      </w:r>
      <w:r w:rsidR="00D15309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="00D15309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23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D15309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32.</w:t>
      </w:r>
    </w:p>
    <w:p w14:paraId="3476B4B6" w14:textId="3A5F5B7C" w:rsidR="00695B6A" w:rsidRPr="002B3C0B" w:rsidRDefault="00695B6A" w:rsidP="002F7F28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lastRenderedPageBreak/>
        <w:t>Herbst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D15309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Blick in den Rückspiegel I: Die evangelische Religionspädagogik der Reformdekade um 1968 (Gespräch mit </w:t>
      </w:r>
      <w:proofErr w:type="spellStart"/>
      <w:r w:rsidRP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Zeitzeug</w:t>
      </w:r>
      <w:proofErr w:type="spellEnd"/>
      <w:r w:rsidRP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*innen)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proofErr w:type="spellStart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Ders</w:t>
      </w:r>
      <w:proofErr w:type="spellEnd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.</w:t>
      </w:r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="00B75347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Kritisch-emanzipatorische Religionspädagogik. Diskurse zwischen Theologie, Pädagogik und Politischer Bildung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Wiesbaden: Springer</w:t>
      </w:r>
      <w:r w:rsidR="00D15309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="00D15309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83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D15309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100.</w:t>
      </w:r>
    </w:p>
    <w:p w14:paraId="4AF58E23" w14:textId="0E4F1AC9" w:rsidR="00D15309" w:rsidRPr="002B3C0B" w:rsidRDefault="00D15309" w:rsidP="00D15309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(2020): Blick in den Rückspiegel I (Langversion): Die evangelische Religionspädagogik der Reformdekade um 1968 (Gespräch mit </w:t>
      </w:r>
      <w:proofErr w:type="spellStart"/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Zeitzeug</w:t>
      </w:r>
      <w:proofErr w:type="spellEnd"/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*innen)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proofErr w:type="spellStart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Ders</w:t>
      </w:r>
      <w:proofErr w:type="spellEnd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.</w:t>
      </w:r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="00B75347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Kritisch-emanzipatorische Religionspädagogik. Diskurse zwischen Theologie, Pädagogik und Politischer Bildung, Wiesbaden: Springer,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online verfügbar unter </w:t>
      </w:r>
      <w:hyperlink r:id="rId10" w:history="1">
        <w:r w:rsidR="002B3C0B" w:rsidRPr="003D1FBD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https://static-content.springer.com/esm/chp%3A10.1007%2F978-3-658-28759-7_5/MediaObjects/476513_1_De_5_MOESM1_ESM.pdf</w:t>
        </w:r>
      </w:hyperlink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zuletzt geprüft am</w:t>
      </w:r>
      <w:r w:rsidR="00ED2270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10.12.2019.</w:t>
      </w:r>
    </w:p>
    <w:p w14:paraId="48FF7CB0" w14:textId="71D5F287" w:rsidR="00695B6A" w:rsidRPr="002B3C0B" w:rsidRDefault="00695B6A" w:rsidP="002F7F28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D15309" w:rsidRP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Blick in den Rückspiegel II: Die katholische Religionspädagogik der Reformdekade um 1968 (Gespräch mit Zeitzeugen)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proofErr w:type="spellStart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Ders</w:t>
      </w:r>
      <w:proofErr w:type="spellEnd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.</w:t>
      </w:r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="00B75347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Kritisch-emanzipatorische Religionspädagogik. Diskurse zwischen Theologie, Pädagogik und Politischer Bildung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Wiesbaden: Springer</w:t>
      </w:r>
      <w:r w:rsidR="00D15309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101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D15309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124.</w:t>
      </w:r>
    </w:p>
    <w:p w14:paraId="152D8B73" w14:textId="7285DC89" w:rsidR="00D15309" w:rsidRPr="002B3C0B" w:rsidRDefault="00D15309" w:rsidP="00D15309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e-DE"/>
        </w:rPr>
      </w:pP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 (2020): Blick in den Rückspiegel II</w:t>
      </w:r>
      <w:r w:rsidR="00AF7986" w:rsidRP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(Langversion)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Die katholische Religionspädagogik der Reformdekade um 1968 (Gespräch mit Zeitzeugen)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proofErr w:type="spellStart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Ders</w:t>
      </w:r>
      <w:proofErr w:type="spellEnd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.</w:t>
      </w:r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="00B75347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Kritisch-emanzipatorische Religionspädagogik. Diskurse zwischen Theologie, Pädagogik und Politischer Bildung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Wiesbaden: Springer,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online verfügbar unter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hyperlink r:id="rId11" w:history="1">
        <w:r w:rsidR="002B3C0B" w:rsidRPr="003D1FBD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https://static-content.springer.com/esm/chp%3A10.1007%2F978-3-658-28759-7_6/MediaObjects/476513_1_De_6_MOESM1_ESM.pdf</w:t>
        </w:r>
      </w:hyperlink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zuletzt geprüft am</w:t>
      </w:r>
      <w:r w:rsidR="00ED2270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10.12.2019.</w:t>
      </w:r>
    </w:p>
    <w:p w14:paraId="0C5F4C39" w14:textId="17D551BB" w:rsidR="00695B6A" w:rsidRPr="002B3C0B" w:rsidRDefault="00534192" w:rsidP="00D15309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(2020): </w:t>
      </w:r>
      <w:r w:rsidR="00695B6A" w:rsidRP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Totgesagte leben länger? Neuere Entwicklungen und Kontroversen der Politischen Theologie (Hinführung III)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695B6A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="00695B6A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="00695B6A"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="00695B6A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proofErr w:type="spellStart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Ders</w:t>
      </w:r>
      <w:proofErr w:type="spellEnd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.</w:t>
      </w:r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="00B75347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r w:rsidR="00695B6A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Kritisch-emanzipatorische Religionspädagogik. Diskurse zwischen Theologie, Pädagogik und Politischer Bildung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695B6A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Wiesbaden: Springer</w:t>
      </w:r>
      <w:r w:rsidR="00D64103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="00D64103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235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D64103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242. </w:t>
      </w:r>
    </w:p>
    <w:p w14:paraId="3EFBE9D8" w14:textId="47793999" w:rsidR="00695B6A" w:rsidRPr="002B3C0B" w:rsidRDefault="00534192" w:rsidP="002F7F28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(2020): </w:t>
      </w:r>
      <w:r w:rsidR="00695B6A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Trivialisierung von Kritik? Kritische Pädagogik und kritische politische Bildung im Blickfeld (Hinführung IV)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695B6A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="00695B6A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="00695B6A"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="00695B6A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proofErr w:type="spellStart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Ders</w:t>
      </w:r>
      <w:proofErr w:type="spellEnd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.</w:t>
      </w:r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="00B75347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r w:rsidR="00695B6A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Kritisch-emanzipatorische Religionspädagogik. Diskurse zwischen Theologie, Pädagogik und Politischer Bildung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695B6A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Wiesbaden: Springer</w:t>
      </w:r>
      <w:r w:rsidR="00D64103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="00D64103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333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D64103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340. </w:t>
      </w:r>
    </w:p>
    <w:p w14:paraId="6146D3B7" w14:textId="36F0DBA4" w:rsidR="00695B6A" w:rsidRPr="001A1351" w:rsidRDefault="00695B6A" w:rsidP="0051745C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Bartmann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Friederike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Schäfer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Simon</w:t>
      </w:r>
      <w:r w:rsidR="00534192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Kritisch-emanzipatorische Bildung auf Tagen religiöser Orientierung?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Claudia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Kritisch-emanzipatorische Religionspädagogik. Diskurse zwischen Theologie, Pädagogik und Politischer Bildung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Wiesbaden: Springer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429</w:t>
      </w:r>
      <w:r w:rsid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446. </w:t>
      </w:r>
    </w:p>
    <w:p w14:paraId="753501EC" w14:textId="54234240" w:rsidR="00695B6A" w:rsidRPr="001A1351" w:rsidRDefault="00534192" w:rsidP="0051745C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(2020): 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Drei Praxisbeispiele für einen ideologiekritischen Religionsunterricht – Religionspädagogische Reflexionen im Horizont der Frankfurter Erklärung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="00695B6A"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proofErr w:type="spellStart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Ders</w:t>
      </w:r>
      <w:proofErr w:type="spellEnd"/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.</w:t>
      </w:r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="00B75347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Kritisch-emanzipatorische Religionspädagogik. Diskurse zwischen Theologie, Pädagogik und Politischer Bildung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Wiesbaden: Springer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519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536. </w:t>
      </w:r>
    </w:p>
    <w:p w14:paraId="0D97B0E6" w14:textId="1BF04855" w:rsidR="00695B6A" w:rsidRPr="001A1351" w:rsidRDefault="00695B6A" w:rsidP="0051745C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Gärtner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534192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Kritisch-emanzipatorische Religionspädagogik: Rückblick und Zusammenfassung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Dies.</w:t>
      </w:r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="00B75347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Kritisch-emanzipatorische Religionspädagogik. Diskurse zwischen Theologie, Pädagogik und Politischer Bildung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Wiesbaden: Springer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613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632. </w:t>
      </w:r>
    </w:p>
    <w:p w14:paraId="4C95449E" w14:textId="098DC4FA" w:rsidR="00D64103" w:rsidRPr="001A1351" w:rsidRDefault="00695B6A" w:rsidP="00D64103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lastRenderedPageBreak/>
        <w:t>Gärtner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Claudia /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534192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Kritisch-emanzipatorische Religionspädagogik: Offene Fragen und programmatischer Ausblick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="00B75347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Dies.</w:t>
      </w:r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B7534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="00B75347" w:rsidRPr="002B3C0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Kritisch-emanzipatorische Religionspädagogik. Diskurse zwischen Theologie, Pädagogik und Politischer Bildung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Wiesbaden: Springer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633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D64103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649.</w:t>
      </w:r>
    </w:p>
    <w:p w14:paraId="0253458E" w14:textId="3882F0B5" w:rsidR="004E628B" w:rsidRPr="001A1351" w:rsidRDefault="004E628B" w:rsidP="004E628B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534192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(2019)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Versuch einer rettenden Kritik befreiungstheologischer Identitätspolitik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Identitätsverhandlungen zwischen Emanzipation und Herrschaft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Gruber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Judith et. al.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Die identitäre Versuchung. Identitätsverhandlungen zwischen Emanzipation und Herrschaft. Aachen: Concordia,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95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103.</w:t>
      </w:r>
    </w:p>
    <w:p w14:paraId="2DF9FC98" w14:textId="54ECE06B" w:rsidR="006B1ECD" w:rsidRPr="001A1351" w:rsidRDefault="006B1ECD" w:rsidP="0081099C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1" w:name="_Hlk45179072"/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(2018): Ideologiekritik und Religionsunterricht. Zum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unabgegoltenen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Potenzial des ideologiekritischen Arguments für den konfessionellen Religionsunterricht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eligions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äadagosiche</w:t>
      </w:r>
      <w:proofErr w:type="spellEnd"/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eiträge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79,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86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97.</w:t>
      </w:r>
    </w:p>
    <w:bookmarkEnd w:id="1"/>
    <w:p w14:paraId="6A5C117B" w14:textId="7AF510B4" w:rsidR="006B1ECD" w:rsidRPr="001A1351" w:rsidRDefault="006B1ECD" w:rsidP="0081099C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Wüllhorst</w:t>
      </w:r>
      <w:proofErr w:type="spellEnd"/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Judith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(2018): Der europäische Erfolg des Rechtspopulismus als Herausforderung Christlicher Sozialethik – Eine Ursachenanalyse im Spiegel der Kritischen Theorie Theodor W. Adornos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Geyer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Felix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et al.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Europa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verkauft und verführt? Sozialethische Reflexionen zu Herausforderungen der europäischen Integration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(=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Forum Sozialethik 19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Münster: Aschendorff,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129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164.</w:t>
      </w:r>
    </w:p>
    <w:p w14:paraId="691799B6" w14:textId="20810F1B" w:rsidR="006B1ECD" w:rsidRPr="001A1351" w:rsidRDefault="006B1ECD" w:rsidP="0081099C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Wüllhorst</w:t>
      </w:r>
      <w:proofErr w:type="spellEnd"/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Judith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Holbein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Christoph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(2018): TZI als subjektbezogene Handlungsoption zur Bewältigung gesellschaftlicher Herausforderungen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Geyer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Felix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et al.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Europa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verkauft und verführt? Sozialethische Reflexionen zu Herausforderungen der europäischen Integration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(=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Forum Sozialethik 19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Münster: Aschendorff,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216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238.</w:t>
      </w:r>
    </w:p>
    <w:p w14:paraId="4970C8E3" w14:textId="78E5C0B8" w:rsidR="006B1ECD" w:rsidRPr="001A1351" w:rsidRDefault="006B1ECD" w:rsidP="0081099C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Holbein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Christoph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(2017): Die TZI als Ansatz humanistischer Gesellschaftstherapie.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Reaktualisierung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ureigenen Anspruchs im Spiegel radikaler Demokratietheorien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Themenzentrierte Interaktion –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theme-centered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interaction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(RCI – international), Fachzeitschrift des </w:t>
      </w:r>
      <w:proofErr w:type="gram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Ruth Cohn Institute</w:t>
      </w:r>
      <w:proofErr w:type="gram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TCI-International 31,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79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87.</w:t>
      </w:r>
    </w:p>
    <w:p w14:paraId="06D78A47" w14:textId="1EE15E48" w:rsidR="006B1ECD" w:rsidRPr="001A1351" w:rsidRDefault="006B1ECD" w:rsidP="0081099C">
      <w:pPr>
        <w:numPr>
          <w:ilvl w:val="0"/>
          <w:numId w:val="1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(2016): Der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Sertão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gefährlichen Erinnerung. José Araújos O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Sertão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das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Memórias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– eine brasilianische Aktualisierung der Johannesoffenbarung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Zwick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proofErr w:type="gramStart"/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Reinhold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</w:t>
      </w:r>
      <w:proofErr w:type="gram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Hasenberg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Peter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): The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Bible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Revisited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Neue Zugänge im Film 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(=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Film und Theologie 29</w:t>
      </w:r>
      <w:r w:rsidR="000E73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Marburg: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Schüren Verlag,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232–257.</w:t>
      </w:r>
    </w:p>
    <w:p w14:paraId="61FA8252" w14:textId="58AA0015" w:rsidR="006B1ECD" w:rsidRPr="001A1351" w:rsidRDefault="006B1ECD" w:rsidP="0081099C">
      <w:pPr>
        <w:numPr>
          <w:ilvl w:val="0"/>
          <w:numId w:val="13"/>
        </w:numPr>
        <w:spacing w:after="12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Enxing</w:t>
      </w:r>
      <w:proofErr w:type="spellEnd"/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Julia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(2015): Einleitung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proofErr w:type="spellStart"/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Enxing</w:t>
      </w:r>
      <w:proofErr w:type="spellEnd"/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Julia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.): Schuld. Theologische Erkundungen eines unbequemen Phänomens. Unter Mitarbeit von Vanessa Görtz-Meiners und Jan-Hendrik Herbst.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Ostfildern: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Grünewald,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1–20.  </w:t>
      </w:r>
    </w:p>
    <w:p w14:paraId="626665DE" w14:textId="0F7F0238" w:rsidR="006B1ECD" w:rsidRPr="001A1351" w:rsidRDefault="006B1ECD" w:rsidP="0081099C">
      <w:pPr>
        <w:spacing w:before="240" w:after="120" w:line="240" w:lineRule="auto"/>
        <w:jc w:val="both"/>
        <w:outlineLvl w:val="4"/>
        <w:rPr>
          <w:rFonts w:ascii="Arial" w:eastAsia="Times New Roman" w:hAnsi="Arial" w:cs="Arial"/>
          <w:color w:val="649600"/>
          <w:sz w:val="32"/>
          <w:szCs w:val="32"/>
          <w:lang w:eastAsia="de-DE"/>
        </w:rPr>
      </w:pPr>
      <w:r w:rsidRPr="001A1351">
        <w:rPr>
          <w:rFonts w:ascii="Arial" w:eastAsia="Times New Roman" w:hAnsi="Arial" w:cs="Arial"/>
          <w:color w:val="649600"/>
          <w:sz w:val="32"/>
          <w:szCs w:val="32"/>
          <w:lang w:eastAsia="de-DE"/>
        </w:rPr>
        <w:t>Kleinere Beiträge</w:t>
      </w:r>
      <w:r w:rsidR="00B67315" w:rsidRPr="001A1351">
        <w:rPr>
          <w:rFonts w:ascii="Arial" w:eastAsia="Times New Roman" w:hAnsi="Arial" w:cs="Arial"/>
          <w:color w:val="649600"/>
          <w:sz w:val="32"/>
          <w:szCs w:val="32"/>
          <w:lang w:eastAsia="de-DE"/>
        </w:rPr>
        <w:t xml:space="preserve"> und Rezensionen</w:t>
      </w:r>
    </w:p>
    <w:p w14:paraId="5CBA3BDF" w14:textId="4988A81F" w:rsidR="00C7741B" w:rsidRDefault="00C7741B" w:rsidP="00C7741B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(2020): </w:t>
      </w:r>
      <w:r w:rsidRPr="003D62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Wieder aktuell? Die neue Politische Theologie von Johann B. Metz im 21. Jahrhundert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C908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INTERESSE. Soziale Information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2,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6</w:t>
      </w:r>
      <w:r w:rsidRPr="00ED2A5D">
        <w:rPr>
          <w:rFonts w:ascii="Arial" w:eastAsia="Times New Roman" w:hAnsi="Arial" w:cs="Arial"/>
          <w:color w:val="000000"/>
          <w:sz w:val="20"/>
          <w:szCs w:val="20"/>
          <w:lang w:val="en-AU" w:eastAsia="de-DE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7.</w:t>
      </w:r>
    </w:p>
    <w:p w14:paraId="16F02927" w14:textId="14187B79" w:rsidR="008D600D" w:rsidRDefault="008D600D" w:rsidP="001E79A4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(2020): </w:t>
      </w:r>
      <w:r w:rsidRPr="008D600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Akademische ‚</w:t>
      </w:r>
      <w:proofErr w:type="spellStart"/>
      <w:r w:rsidRPr="008D600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Cancel</w:t>
      </w:r>
      <w:proofErr w:type="spellEnd"/>
      <w:r w:rsidRPr="008D600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8D600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culture</w:t>
      </w:r>
      <w:proofErr w:type="spellEnd"/>
      <w:r w:rsidRPr="008D600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‘? Zum Vorwurf einer politisch korrekten Wissenschaft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feinschwarz.net.</w:t>
      </w:r>
    </w:p>
    <w:p w14:paraId="1E4FBE3C" w14:textId="77777777" w:rsidR="002C090F" w:rsidRDefault="00C25135" w:rsidP="002C090F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090F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 (2020): Politisch korrekte ‚Wissenschaft‘? Exemplarische Reflexionen eines gängigen Vorwurfs</w:t>
      </w:r>
      <w:r w:rsidR="0051745C"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Nichts </w:t>
      </w:r>
      <w:r w:rsidR="0027323A"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Praktischeres</w:t>
      </w:r>
      <w:r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als Theologie (Blog des AK Politische Theologie).</w:t>
      </w:r>
    </w:p>
    <w:p w14:paraId="0B934B29" w14:textId="63E55D08" w:rsidR="002C090F" w:rsidRPr="002C090F" w:rsidRDefault="002C090F" w:rsidP="002C090F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C090F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lastRenderedPageBreak/>
        <w:t>Collet</w:t>
      </w:r>
      <w:r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 Niklas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/ </w:t>
      </w:r>
      <w:proofErr w:type="spellStart"/>
      <w:r w:rsidRPr="002C090F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Erulo</w:t>
      </w:r>
      <w:proofErr w:type="spellEnd"/>
      <w:r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Jonas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/ </w:t>
      </w:r>
      <w:r w:rsidRPr="002C090F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/ </w:t>
      </w:r>
      <w:r w:rsidRPr="002C090F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Schiefen</w:t>
      </w:r>
      <w:r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Fana</w:t>
      </w:r>
      <w:proofErr w:type="spellEnd"/>
      <w:r w:rsidR="00F43E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 w:rsidR="00F43E36" w:rsidRPr="00F43E36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Taxacher</w:t>
      </w:r>
      <w:proofErr w:type="spellEnd"/>
      <w:r w:rsidR="00F43E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Gregor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2C090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Der rechten Normalisierung entgegentreten! Politische Theologie angesichts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von Thüringen. In: feinschwarz.net.</w:t>
      </w:r>
    </w:p>
    <w:p w14:paraId="76826B39" w14:textId="218F2536" w:rsidR="00695B6A" w:rsidRPr="001A1351" w:rsidRDefault="001E79A4" w:rsidP="001E79A4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055288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(2020)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proofErr w:type="spellStart"/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Rez</w:t>
      </w:r>
      <w:proofErr w:type="spellEnd"/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zu </w:t>
      </w:r>
      <w:proofErr w:type="spellStart"/>
      <w:r w:rsidR="00695B6A"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Hellgermann</w:t>
      </w:r>
      <w:proofErr w:type="spellEnd"/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Andreas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(2018)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kompetent. flexibel. angepasst. Zur Kritik neoliberaler Bildung (= Edition ITP-Kompass 25)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Münster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Edition ITP-Kompass.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Kat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echetische 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ätter</w:t>
      </w:r>
      <w:r w:rsidR="00695B6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</w:t>
      </w:r>
      <w:r w:rsidR="00251DA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0530F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S.</w:t>
      </w:r>
      <w:r w:rsidR="00251DA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80.</w:t>
      </w:r>
    </w:p>
    <w:p w14:paraId="3A83212D" w14:textId="49DC389C" w:rsidR="00695B6A" w:rsidRPr="001A1351" w:rsidRDefault="00695B6A" w:rsidP="001E79A4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F22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</w:t>
      </w:r>
      <w:r w:rsidR="00055288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(2019)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Flaschenpost für die Zukunft? Theodor W. Adornos „Aspekte des neuen Rechtsradikalismus“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feinschwarz.net.</w:t>
      </w:r>
    </w:p>
    <w:p w14:paraId="0D5EECF0" w14:textId="310ED551" w:rsidR="006B1ECD" w:rsidRPr="001A1351" w:rsidRDefault="006B1ECD" w:rsidP="0081099C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 (2019): Theologie in gefährdeter Zeit? Deutungsstreit um die Politische Theologie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feinschwarz.net.</w:t>
      </w:r>
    </w:p>
    <w:p w14:paraId="0DB46D43" w14:textId="7D56BB34" w:rsidR="006B1ECD" w:rsidRPr="001A1351" w:rsidRDefault="006B1ECD" w:rsidP="0081099C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(2018): Das Erlernen soziologischer </w:t>
      </w:r>
      <w:proofErr w:type="gram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Phantasie</w:t>
      </w:r>
      <w:proofErr w:type="gram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Rahmen der TZI-Grundausbildung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Themenzentrierte Interaktion </w:t>
      </w:r>
      <w:r w:rsidR="00644A57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theme-centered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interaction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(RCI - international), Fachzeitschrift des </w:t>
      </w:r>
      <w:proofErr w:type="gram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Ruth Cohn Institute</w:t>
      </w:r>
      <w:proofErr w:type="gram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TCI-International</w:t>
      </w:r>
      <w:r w:rsidR="00090A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S. 155</w:t>
      </w:r>
      <w:r w:rsidR="00090AFB" w:rsidRPr="001E41E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090A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156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5DD04E0C" w14:textId="233B2A50" w:rsidR="006B1ECD" w:rsidRPr="001A1351" w:rsidRDefault="006B1ECD" w:rsidP="0081099C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(2018): "Fear </w:t>
      </w:r>
      <w:proofErr w:type="spellStart"/>
      <w:r w:rsidRP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of</w:t>
      </w:r>
      <w:proofErr w:type="spellEnd"/>
      <w:r w:rsidRP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 </w:t>
      </w:r>
      <w:proofErr w:type="spellStart"/>
      <w:r w:rsidRP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Kanak</w:t>
      </w:r>
      <w:proofErr w:type="spellEnd"/>
      <w:r w:rsidRP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Planet"?</w:t>
      </w:r>
      <w:r w:rsidR="0051745C" w:rsidRPr="00090A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–</w:t>
      </w:r>
      <w:r w:rsidRP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Zur Ambivalenz und Tiefe der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HipHop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-Kultur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feinschwarz.net.</w:t>
      </w:r>
    </w:p>
    <w:p w14:paraId="1B4F10BB" w14:textId="2625F446" w:rsidR="006B1ECD" w:rsidRPr="001A1351" w:rsidRDefault="006B1ECD" w:rsidP="0081099C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 (2017): „Hip-Hop als Ventil!“ – Demokratisches Lernen am Beispiel eines Rap-Workshops am Märkischen Gymnasium Hamm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Glaser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Stefan /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Pfeiffer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Thomas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Hg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.) (2017): Erlebniswelt Rechtsextremismus. Menschenverachtung mit Unterhaltungswert. Hintergründe, Methoden, Praxis der Prävention.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Schwalbach am Taunus: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Wochenschau,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184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187.</w:t>
      </w:r>
    </w:p>
    <w:p w14:paraId="43419EC4" w14:textId="173C3F31" w:rsidR="006B1ECD" w:rsidRPr="001A1351" w:rsidRDefault="006B1ECD" w:rsidP="0081099C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 (2017): „Hoffnungslosigkeit ist ein Luxusgut, das sich nur Reiche leisten können.“ (D. Sölle) – Die sozialethische Reflexion eines Praktikums in den AVICRES-Projekten in Nova Iguaçu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Brasilikum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55 (Vereinszeitschrift der AVICRES),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19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22.</w:t>
      </w:r>
    </w:p>
    <w:p w14:paraId="47748DF5" w14:textId="2514087E" w:rsidR="006B1ECD" w:rsidRPr="001A1351" w:rsidRDefault="006B1ECD" w:rsidP="0081099C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 (2017): „Ihr könnt nicht Gott dienen und dem Mammon.“ 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Mt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6,24) – Die theologische Relevanz der eigenen To-do-Liste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feinschwarz.net.</w:t>
      </w:r>
    </w:p>
    <w:p w14:paraId="5D76D827" w14:textId="074C6F86" w:rsidR="006B1ECD" w:rsidRPr="001A1351" w:rsidRDefault="006B1ECD" w:rsidP="0081099C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 (2016): „Lass dich nicht täuschen, König!“ (Dan 14,6). Theologische Reflexionen zum Internet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feinschwarz.net.</w:t>
      </w:r>
    </w:p>
    <w:p w14:paraId="334F3C71" w14:textId="500303C9" w:rsidR="006B1ECD" w:rsidRPr="001A1351" w:rsidRDefault="006B1ECD" w:rsidP="0081099C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Jan-Hendrik (2016): „Wie der Hirsch lechzt nach frischem Wasser, so schreit seine Seele nach Geld.“ (Karl Marx) – Theologie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als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götzenkritische Analyse des Kapitalismus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174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feinschwarz.net.</w:t>
      </w:r>
    </w:p>
    <w:p w14:paraId="01CE8097" w14:textId="246A6E5F" w:rsidR="006B1ECD" w:rsidRPr="001A1351" w:rsidRDefault="006B1ECD" w:rsidP="0081099C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(2013): Warum ich Theologie studiere: „Mein Traumstudium war schon immer ein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studium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generale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.“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n: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wissen|leben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7/8 (Die Zeitung der WWU Münster),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S.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8.</w:t>
      </w:r>
    </w:p>
    <w:p w14:paraId="6A27C38C" w14:textId="6E244FE5" w:rsidR="006B1ECD" w:rsidRPr="001A1351" w:rsidRDefault="006B1ECD" w:rsidP="0081099C">
      <w:pPr>
        <w:numPr>
          <w:ilvl w:val="0"/>
          <w:numId w:val="14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Herbst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Jan-Hendrik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090AFB">
        <w:rPr>
          <w:rFonts w:ascii="Arial" w:eastAsia="Times New Roman" w:hAnsi="Arial" w:cs="Arial"/>
          <w:smallCaps/>
          <w:color w:val="000000"/>
          <w:sz w:val="20"/>
          <w:szCs w:val="20"/>
          <w:lang w:eastAsia="de-DE"/>
        </w:rPr>
        <w:t>Holbein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Christoph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(2010): Staatskrise in Ecuador – ein spontaner Protest? Die Berichterstattung kritisch in den Blick genommen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n: nachgefragt 10 (Infomagazin der KSHG Münster).</w:t>
      </w:r>
    </w:p>
    <w:p w14:paraId="1285AF86" w14:textId="5F80071C" w:rsidR="006B1ECD" w:rsidRPr="001A1351" w:rsidRDefault="006B1ECD" w:rsidP="0081099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DAB741C" w14:textId="77777777" w:rsidR="006B1ECD" w:rsidRPr="001A1351" w:rsidRDefault="006B1ECD" w:rsidP="0081099C">
      <w:pPr>
        <w:spacing w:before="72" w:after="120" w:line="336" w:lineRule="atLeast"/>
        <w:jc w:val="both"/>
        <w:outlineLvl w:val="2"/>
        <w:rPr>
          <w:rFonts w:ascii="Arial" w:eastAsia="Times New Roman" w:hAnsi="Arial" w:cs="Arial"/>
          <w:b/>
          <w:bCs/>
          <w:color w:val="649600"/>
          <w:sz w:val="32"/>
          <w:szCs w:val="32"/>
          <w:lang w:eastAsia="de-DE"/>
        </w:rPr>
      </w:pPr>
      <w:r w:rsidRPr="001A1351">
        <w:rPr>
          <w:rFonts w:ascii="Arial" w:eastAsia="Times New Roman" w:hAnsi="Arial" w:cs="Arial"/>
          <w:b/>
          <w:bCs/>
          <w:color w:val="649600"/>
          <w:sz w:val="32"/>
          <w:szCs w:val="32"/>
          <w:lang w:eastAsia="de-DE"/>
        </w:rPr>
        <w:t>Vorträge, Workshops und Tagungen (in Auswahl)</w:t>
      </w:r>
    </w:p>
    <w:p w14:paraId="64655FA1" w14:textId="6734ADB2" w:rsidR="00413C9D" w:rsidRDefault="00413C9D" w:rsidP="005F458D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Produktion einer Podcast-Reihe </w:t>
      </w:r>
      <w:r w:rsidR="002164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14 Folgen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der Basis von Expert*innen-Gesprächen (u.a. mit Rudolf Englert, Claudia Gärtner und Bernhard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Grümme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</w:t>
      </w:r>
      <w:r w:rsidR="002164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für die Lehrveranstaltung </w:t>
      </w:r>
      <w:r w:rsidR="002164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 xml:space="preserve">„Glaube und Handeln – Religionsbuchanalyse anhand des Elementarisierungsmodells“ (Tu Dortmund, </w:t>
      </w:r>
      <w:proofErr w:type="spellStart"/>
      <w:r w:rsidR="002164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WiSe</w:t>
      </w:r>
      <w:proofErr w:type="spellEnd"/>
      <w:r w:rsidR="0021649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2020/2021)</w:t>
      </w:r>
    </w:p>
    <w:p w14:paraId="0933434D" w14:textId="1575D47C" w:rsidR="005F458D" w:rsidRPr="005F458D" w:rsidRDefault="005F458D" w:rsidP="005F458D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F45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Vortrag „Offenbarung aus einem ‚brennenden Dornbusch im Schwarzwald‘ (G. Steffens)? Der Beutelsbacher Konsens und seine religionspädagogische Rezeption“ (Workshop „Politische Bildung und die Kontroverse über </w:t>
      </w:r>
      <w:proofErr w:type="spellStart"/>
      <w:r w:rsidRPr="005F45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Kontroversitätsgebote</w:t>
      </w:r>
      <w:proofErr w:type="spellEnd"/>
      <w:r w:rsidRPr="005F45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Theoretische Perspektiven und empirische Befunde“, TU Dortmund</w:t>
      </w:r>
      <w:r w:rsidR="00493C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75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September </w:t>
      </w:r>
      <w:r w:rsidR="00493C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2020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).</w:t>
      </w:r>
    </w:p>
    <w:p w14:paraId="1B6FFC01" w14:textId="2A2AE097" w:rsidR="00695B6A" w:rsidRPr="001A1351" w:rsidRDefault="005211AD" w:rsidP="005211AD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Durchführung des Workshops „Religiöse Identität als brisanter Rohstoff von Politik? Konkrete Möglichkeiten der Reflexion populistischer Identitätspolitik im Religionsunterricht“ (Religionslehrer*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innentagung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auf der Jugendburg Gemen, </w:t>
      </w:r>
      <w:r w:rsidR="0075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Februar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2020)</w:t>
      </w:r>
      <w:r w:rsidR="00E133BA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14:paraId="315A6D33" w14:textId="46A75CBB" w:rsidR="00AD2B3E" w:rsidRPr="001A1351" w:rsidRDefault="00AD2B3E" w:rsidP="005211AD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Impuls und Diskussion „Die politische Theologie der neuen Rechten“ (Kolloquium für Politische Theologie nach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Tiemo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</w:t>
      </w:r>
      <w:r w:rsidR="008E7D77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iner Peters, Münster, Februar 2020)</w:t>
      </w:r>
    </w:p>
    <w:p w14:paraId="41C8268C" w14:textId="77777777" w:rsidR="002D3389" w:rsidRPr="001A1351" w:rsidRDefault="002D3389" w:rsidP="002D3389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Vortrag „Wie wird in der Kopftuchdebatte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geframed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? Ein Beispiel ideologiekritischer Bildung im Religionsunterricht“ (mit Andreas Menne, Ringvorlesung des AK Fachdidaktik „„Herausforderungen durch Populismus – Antworten aus Fachdidaktik und Bildungswissenschaft“, Universität Mainz, Januar 2020) </w:t>
      </w:r>
    </w:p>
    <w:p w14:paraId="171188B7" w14:textId="3057107F" w:rsidR="005211AD" w:rsidRPr="001A1351" w:rsidRDefault="00C04636" w:rsidP="005211AD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Durchführung des Workshops „Hip-Hop als Ventil!“ – Demokratisches Lernen am Beispiel eines Rap-Workshops am Märkischen Gymnasium Hamm (Fachtag für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Referandar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*innen am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Zf</w:t>
      </w:r>
      <w:r w:rsidR="009C57AC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sL</w:t>
      </w:r>
      <w:proofErr w:type="spellEnd"/>
      <w:r w:rsidR="009C57AC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Hamm, Dezember 2019)</w:t>
      </w:r>
    </w:p>
    <w:p w14:paraId="1720B533" w14:textId="5D0126EC" w:rsidR="009C57AC" w:rsidRPr="001A1351" w:rsidRDefault="006C59FD" w:rsidP="006C59FD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Vortrag „Politische Religionspädagogik global? Rekonstruktion einer politisch profilierten katholischen Religionspädagogik in den langen 1960er Jahre“ (Kolloquium für Kirchengeschichte an der RUB, November 2019)</w:t>
      </w:r>
    </w:p>
    <w:p w14:paraId="25921424" w14:textId="150A3A0D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Organisation des Oberseminars vom Institut für katholische Theologie (zus. mit Gregor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Taxacher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im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WiSe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2018/19 (Thema: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Populismus und Religion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mit Matthias Kortmann) und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SoSe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2019 (Thema: "Reichtum als moralisches Problem", mit Christian Neuhäuser)</w:t>
      </w:r>
    </w:p>
    <w:p w14:paraId="701B64DE" w14:textId="77777777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Vortrag "Konturen einer neuen politischen Religionspädagogik? Historische und interdisziplinäre Perspektiven auf die politische Dimension religiöser Bildung" (Kassel-Paderborn-Dortmunder Doktorandenkolloquium, 2019)</w:t>
      </w:r>
    </w:p>
    <w:p w14:paraId="65F996E7" w14:textId="73ECEDCF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Workshop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Populismus und religiöse Bildung </w:t>
      </w:r>
      <w:r w:rsidR="003E5AD7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 exemplarischer Blick in außerschulische und schulische Projekte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r w:rsidR="0024375C"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zus. mit Laura Otte,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Dortmunder Diskurse, TU Dortmund, 2019)</w:t>
      </w:r>
    </w:p>
    <w:p w14:paraId="331EF84E" w14:textId="6DF5B8F0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Vortrag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Politische Theologie? Im Spannungsfeld von Theologie und Politischer Theorie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(im Rahmen der Vorlesung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Einführung in die Politische Theorie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TU Dortmund, 2018)</w:t>
      </w:r>
    </w:p>
    <w:p w14:paraId="4628A0C0" w14:textId="6E37F300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Vortrag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Erziehung zur Mündigkeit? Gesellschaftskritische Fortschreibungen und Aktualisierungen in der Religionspädagogik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(Fachsymposium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Gegenwart und Zukunft Politischer Theologie(n)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Köln 2019)</w:t>
      </w:r>
    </w:p>
    <w:p w14:paraId="1FABCC7B" w14:textId="0DE2012D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Konzeption und Organisation der Tagung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Zurück in die Zukunft? Kritik und Emanzipation in politischer und religiöser Bildung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="00695F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inkl. Einführungs- und Abschlussvortrag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(Katholische Akademie Schwerte, 2019).</w:t>
      </w:r>
    </w:p>
    <w:p w14:paraId="1CD03F49" w14:textId="48173BDB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Vortrag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Versuch einer rettenden Kritik befreiungstheologischer Identitätspolitik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(Tagung "Identitäre Versuchung -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Identtätsverhandlungen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Emanzipation und Herrschaft" in Löwen, 2018)</w:t>
      </w:r>
    </w:p>
    <w:p w14:paraId="7C189AA0" w14:textId="0AE6C9F1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 xml:space="preserve">Organisation und Durchführung des Workshops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Ideologiekritk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Religionsunterricht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(Jahrestagung der AKRK in Augsburg, 2018)</w:t>
      </w:r>
    </w:p>
    <w:p w14:paraId="56F0D46D" w14:textId="23EFB623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Posterpräsentation des Dissertationsprojekts (Tagung der AKRK-Sektion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Didaktik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Würzburg, 2018)</w:t>
      </w:r>
    </w:p>
    <w:p w14:paraId="70122D71" w14:textId="1A7F9B45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Vortrag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Beiträge der Demokratiepädagogik zu einer politisch sensiblen Religionspädagogik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(Kassel-Paderborn-Dortmunder Doktorandenkolloquium, 2017)</w:t>
      </w:r>
    </w:p>
    <w:p w14:paraId="04662BB6" w14:textId="08708617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Vortrag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TZI als subjektbezogene Handlungsoption zur Bewältigung gesellschaftlicher Herausforderungen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(mit Judith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Wüllhorst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auf dem Forum Sozialethik in der Katholischen Akademie in Schwerte, 2017)</w:t>
      </w:r>
    </w:p>
    <w:p w14:paraId="5EA788B5" w14:textId="058FA45F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Vortrag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Ursachenanalyse europäischer Krisenphänomene im Spiegel der Kritischen Theorie Adornos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(mit Judith 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Wüllhorst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auf dem Forum Sozialethik in der Katholischen Akademie in Schwerte, 2017)</w:t>
      </w:r>
    </w:p>
    <w:p w14:paraId="5C346C4E" w14:textId="768417C7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Vortrag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Subjekt und Subjektivierung. Reflexionen zu (scheinbaren) Aporien einer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‚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Erziehung zur Mündigkeit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‘ 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der Perspektive eines Bildungspraktikers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(Oberseminar von Klaus Müller in Schwerte, 2017)</w:t>
      </w:r>
    </w:p>
    <w:p w14:paraId="622BE365" w14:textId="0D35795F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Vortrag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Ontogenese der bürgerlichen Kälte: Grundzüge einer Theorie der Moralentwicklung in Anschluss an Adorno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(Oberseminar von Klaus Müller in Schwerte, 2015)</w:t>
      </w:r>
    </w:p>
    <w:p w14:paraId="48BF8B95" w14:textId="153F1EA5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Konzeption, Organisation und Durchführung der Tagungen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Biografieförderung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- Eine bildungstheoretische Annäherung an Ferienakademien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Cusanuswerk</w:t>
      </w:r>
      <w:proofErr w:type="spellEnd"/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Bonn, 2015)</w:t>
      </w:r>
    </w:p>
    <w:p w14:paraId="775AB090" w14:textId="2F1C671B" w:rsidR="006B1ECD" w:rsidRPr="001A1351" w:rsidRDefault="006B1ECD" w:rsidP="0081099C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Mitorganisation des Workshops 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Schulen in konfessioneller Trägerschaft</w:t>
      </w:r>
      <w:r w:rsidR="007317B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1A13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(Exzellenzcluster Religion und Politik in Münster, 2014)</w:t>
      </w:r>
    </w:p>
    <w:p w14:paraId="7537F82B" w14:textId="6CF24EB1" w:rsidR="00EC7AA1" w:rsidRDefault="006B1ECD" w:rsidP="00C33CC3">
      <w:pPr>
        <w:numPr>
          <w:ilvl w:val="0"/>
          <w:numId w:val="15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36B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Konzeption, Organisation und Durchführung der Tagung </w:t>
      </w:r>
      <w:r w:rsidR="007317BE" w:rsidRPr="00836B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836B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Christliche Streitkultur</w:t>
      </w:r>
      <w:r w:rsidR="007317BE" w:rsidRPr="00836B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836B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836B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Cusanushaus</w:t>
      </w:r>
      <w:proofErr w:type="spellEnd"/>
      <w:r w:rsidRPr="00836B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Bonn-Mehlem, 2013)</w:t>
      </w:r>
    </w:p>
    <w:sectPr w:rsidR="00EC7AA1" w:rsidSect="001A1351">
      <w:pgSz w:w="11906" w:h="16838"/>
      <w:pgMar w:top="1418" w:right="198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F8F"/>
    <w:multiLevelType w:val="multilevel"/>
    <w:tmpl w:val="61D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C2D6D"/>
    <w:multiLevelType w:val="multilevel"/>
    <w:tmpl w:val="C576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94A43"/>
    <w:multiLevelType w:val="multilevel"/>
    <w:tmpl w:val="3B8E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50B90"/>
    <w:multiLevelType w:val="hybridMultilevel"/>
    <w:tmpl w:val="A02A1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99"/>
    <w:multiLevelType w:val="hybridMultilevel"/>
    <w:tmpl w:val="16BECF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04663"/>
    <w:multiLevelType w:val="multilevel"/>
    <w:tmpl w:val="0C162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80887"/>
    <w:multiLevelType w:val="hybridMultilevel"/>
    <w:tmpl w:val="B59A84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D3250"/>
    <w:multiLevelType w:val="multilevel"/>
    <w:tmpl w:val="B8D6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C1751"/>
    <w:multiLevelType w:val="multilevel"/>
    <w:tmpl w:val="626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73918"/>
    <w:multiLevelType w:val="multilevel"/>
    <w:tmpl w:val="05E2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E121D"/>
    <w:multiLevelType w:val="hybridMultilevel"/>
    <w:tmpl w:val="473AF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27B46"/>
    <w:multiLevelType w:val="hybridMultilevel"/>
    <w:tmpl w:val="FFFAD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17FA6"/>
    <w:multiLevelType w:val="multilevel"/>
    <w:tmpl w:val="CED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F6831"/>
    <w:multiLevelType w:val="hybridMultilevel"/>
    <w:tmpl w:val="FFA04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21DCD"/>
    <w:multiLevelType w:val="hybridMultilevel"/>
    <w:tmpl w:val="06A42B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C3EDE"/>
    <w:multiLevelType w:val="multilevel"/>
    <w:tmpl w:val="11A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B3FD9"/>
    <w:multiLevelType w:val="multilevel"/>
    <w:tmpl w:val="40E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546EA"/>
    <w:multiLevelType w:val="multilevel"/>
    <w:tmpl w:val="5EC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71B75"/>
    <w:multiLevelType w:val="multilevel"/>
    <w:tmpl w:val="F5E01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97B2B"/>
    <w:multiLevelType w:val="multilevel"/>
    <w:tmpl w:val="05583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E6EAF"/>
    <w:multiLevelType w:val="hybridMultilevel"/>
    <w:tmpl w:val="1C0A0E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D5E56"/>
    <w:multiLevelType w:val="multilevel"/>
    <w:tmpl w:val="B7E2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201C93"/>
    <w:multiLevelType w:val="hybridMultilevel"/>
    <w:tmpl w:val="EAF0B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21"/>
  </w:num>
  <w:num w:numId="5">
    <w:abstractNumId w:val="6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8"/>
  </w:num>
  <w:num w:numId="11">
    <w:abstractNumId w:val="12"/>
  </w:num>
  <w:num w:numId="12">
    <w:abstractNumId w:val="18"/>
  </w:num>
  <w:num w:numId="13">
    <w:abstractNumId w:val="5"/>
  </w:num>
  <w:num w:numId="14">
    <w:abstractNumId w:val="16"/>
  </w:num>
  <w:num w:numId="15">
    <w:abstractNumId w:val="17"/>
  </w:num>
  <w:num w:numId="16">
    <w:abstractNumId w:val="4"/>
  </w:num>
  <w:num w:numId="17">
    <w:abstractNumId w:val="20"/>
  </w:num>
  <w:num w:numId="18">
    <w:abstractNumId w:val="11"/>
  </w:num>
  <w:num w:numId="19">
    <w:abstractNumId w:val="3"/>
  </w:num>
  <w:num w:numId="20">
    <w:abstractNumId w:val="14"/>
  </w:num>
  <w:num w:numId="21">
    <w:abstractNumId w:val="2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7F"/>
    <w:rsid w:val="000027C4"/>
    <w:rsid w:val="000063DB"/>
    <w:rsid w:val="00011FB9"/>
    <w:rsid w:val="000269B1"/>
    <w:rsid w:val="00033D98"/>
    <w:rsid w:val="000530F3"/>
    <w:rsid w:val="00055288"/>
    <w:rsid w:val="00070A37"/>
    <w:rsid w:val="00077735"/>
    <w:rsid w:val="00085330"/>
    <w:rsid w:val="00086407"/>
    <w:rsid w:val="00090AFB"/>
    <w:rsid w:val="00090F22"/>
    <w:rsid w:val="0009110C"/>
    <w:rsid w:val="00095EA5"/>
    <w:rsid w:val="000A20B9"/>
    <w:rsid w:val="000A5409"/>
    <w:rsid w:val="000B54BC"/>
    <w:rsid w:val="000C2DC7"/>
    <w:rsid w:val="000E6F84"/>
    <w:rsid w:val="000E7393"/>
    <w:rsid w:val="00111A68"/>
    <w:rsid w:val="00121B08"/>
    <w:rsid w:val="00127A55"/>
    <w:rsid w:val="001314AF"/>
    <w:rsid w:val="0015379C"/>
    <w:rsid w:val="0016174D"/>
    <w:rsid w:val="00176529"/>
    <w:rsid w:val="0019439B"/>
    <w:rsid w:val="00194C1D"/>
    <w:rsid w:val="00195F75"/>
    <w:rsid w:val="001A1351"/>
    <w:rsid w:val="001A40F9"/>
    <w:rsid w:val="001B3103"/>
    <w:rsid w:val="001B5FC3"/>
    <w:rsid w:val="001B6E92"/>
    <w:rsid w:val="001C6878"/>
    <w:rsid w:val="001E1E15"/>
    <w:rsid w:val="001E79A4"/>
    <w:rsid w:val="001F1636"/>
    <w:rsid w:val="001F43A9"/>
    <w:rsid w:val="001F72FC"/>
    <w:rsid w:val="0021382A"/>
    <w:rsid w:val="00214F7F"/>
    <w:rsid w:val="00216496"/>
    <w:rsid w:val="0024375C"/>
    <w:rsid w:val="002510F7"/>
    <w:rsid w:val="00251DA6"/>
    <w:rsid w:val="0026396E"/>
    <w:rsid w:val="00270E6F"/>
    <w:rsid w:val="0027323A"/>
    <w:rsid w:val="00292903"/>
    <w:rsid w:val="002B11A3"/>
    <w:rsid w:val="002B1A92"/>
    <w:rsid w:val="002B3C0B"/>
    <w:rsid w:val="002C090F"/>
    <w:rsid w:val="002C717D"/>
    <w:rsid w:val="002D3389"/>
    <w:rsid w:val="002D3F4F"/>
    <w:rsid w:val="002E1182"/>
    <w:rsid w:val="002F7F28"/>
    <w:rsid w:val="00324275"/>
    <w:rsid w:val="00396BC7"/>
    <w:rsid w:val="003A7003"/>
    <w:rsid w:val="003A7A1E"/>
    <w:rsid w:val="003B0D7A"/>
    <w:rsid w:val="003B1AA6"/>
    <w:rsid w:val="003B5B7D"/>
    <w:rsid w:val="003D500A"/>
    <w:rsid w:val="003D6282"/>
    <w:rsid w:val="003E34D3"/>
    <w:rsid w:val="003E5AD7"/>
    <w:rsid w:val="003F5160"/>
    <w:rsid w:val="00406331"/>
    <w:rsid w:val="0041307F"/>
    <w:rsid w:val="00413C9D"/>
    <w:rsid w:val="00423058"/>
    <w:rsid w:val="0043634C"/>
    <w:rsid w:val="00437BAC"/>
    <w:rsid w:val="00443A30"/>
    <w:rsid w:val="004502E9"/>
    <w:rsid w:val="004523AA"/>
    <w:rsid w:val="0045733B"/>
    <w:rsid w:val="00461B0F"/>
    <w:rsid w:val="00480023"/>
    <w:rsid w:val="0048689D"/>
    <w:rsid w:val="00487D46"/>
    <w:rsid w:val="00493CC2"/>
    <w:rsid w:val="004A7270"/>
    <w:rsid w:val="004B2BB6"/>
    <w:rsid w:val="004E628B"/>
    <w:rsid w:val="004F583B"/>
    <w:rsid w:val="00506168"/>
    <w:rsid w:val="005067E0"/>
    <w:rsid w:val="0051745C"/>
    <w:rsid w:val="005211AD"/>
    <w:rsid w:val="00530F31"/>
    <w:rsid w:val="00534192"/>
    <w:rsid w:val="005362B0"/>
    <w:rsid w:val="00571EA0"/>
    <w:rsid w:val="00583BCC"/>
    <w:rsid w:val="00590D51"/>
    <w:rsid w:val="005C2546"/>
    <w:rsid w:val="005E48C5"/>
    <w:rsid w:val="005E6D4B"/>
    <w:rsid w:val="005F458D"/>
    <w:rsid w:val="00630C5D"/>
    <w:rsid w:val="0064008F"/>
    <w:rsid w:val="00644A57"/>
    <w:rsid w:val="00663157"/>
    <w:rsid w:val="006949F5"/>
    <w:rsid w:val="00695B6A"/>
    <w:rsid w:val="00695FB1"/>
    <w:rsid w:val="006A08A4"/>
    <w:rsid w:val="006B1ECD"/>
    <w:rsid w:val="006B53E7"/>
    <w:rsid w:val="006C59FD"/>
    <w:rsid w:val="006D411E"/>
    <w:rsid w:val="006D5B38"/>
    <w:rsid w:val="006E177A"/>
    <w:rsid w:val="006E3C3B"/>
    <w:rsid w:val="006E4B97"/>
    <w:rsid w:val="00705346"/>
    <w:rsid w:val="00713EFD"/>
    <w:rsid w:val="00724D33"/>
    <w:rsid w:val="00725E47"/>
    <w:rsid w:val="00727CB2"/>
    <w:rsid w:val="007317BE"/>
    <w:rsid w:val="007509E7"/>
    <w:rsid w:val="00751903"/>
    <w:rsid w:val="00753D92"/>
    <w:rsid w:val="00761637"/>
    <w:rsid w:val="0078756A"/>
    <w:rsid w:val="007A133C"/>
    <w:rsid w:val="007A2B06"/>
    <w:rsid w:val="007F1024"/>
    <w:rsid w:val="00801C70"/>
    <w:rsid w:val="0081099C"/>
    <w:rsid w:val="00812034"/>
    <w:rsid w:val="00820299"/>
    <w:rsid w:val="008222C7"/>
    <w:rsid w:val="00835726"/>
    <w:rsid w:val="00836B1F"/>
    <w:rsid w:val="00851184"/>
    <w:rsid w:val="008635A5"/>
    <w:rsid w:val="008A4D0E"/>
    <w:rsid w:val="008B42A3"/>
    <w:rsid w:val="008D0864"/>
    <w:rsid w:val="008D26AF"/>
    <w:rsid w:val="008D4786"/>
    <w:rsid w:val="008D600D"/>
    <w:rsid w:val="008E4348"/>
    <w:rsid w:val="008E4534"/>
    <w:rsid w:val="008E79FB"/>
    <w:rsid w:val="008E7D77"/>
    <w:rsid w:val="008F0D9D"/>
    <w:rsid w:val="008F7349"/>
    <w:rsid w:val="00905159"/>
    <w:rsid w:val="009276FE"/>
    <w:rsid w:val="00971606"/>
    <w:rsid w:val="009B125E"/>
    <w:rsid w:val="009C2F5B"/>
    <w:rsid w:val="009C57AC"/>
    <w:rsid w:val="00A0597B"/>
    <w:rsid w:val="00A241AA"/>
    <w:rsid w:val="00A27C11"/>
    <w:rsid w:val="00A30513"/>
    <w:rsid w:val="00A66D44"/>
    <w:rsid w:val="00A70F74"/>
    <w:rsid w:val="00A8371D"/>
    <w:rsid w:val="00A93956"/>
    <w:rsid w:val="00AC3AEF"/>
    <w:rsid w:val="00AD2B3E"/>
    <w:rsid w:val="00AD3FD2"/>
    <w:rsid w:val="00AD40DA"/>
    <w:rsid w:val="00AD6EAD"/>
    <w:rsid w:val="00AD7BAA"/>
    <w:rsid w:val="00AE6A6B"/>
    <w:rsid w:val="00AF7986"/>
    <w:rsid w:val="00B04C88"/>
    <w:rsid w:val="00B42EA7"/>
    <w:rsid w:val="00B54882"/>
    <w:rsid w:val="00B67315"/>
    <w:rsid w:val="00B75347"/>
    <w:rsid w:val="00B92775"/>
    <w:rsid w:val="00BC147F"/>
    <w:rsid w:val="00BC1FB6"/>
    <w:rsid w:val="00BD4C9D"/>
    <w:rsid w:val="00BE50E5"/>
    <w:rsid w:val="00C04636"/>
    <w:rsid w:val="00C076CB"/>
    <w:rsid w:val="00C07E9C"/>
    <w:rsid w:val="00C13B8C"/>
    <w:rsid w:val="00C25135"/>
    <w:rsid w:val="00C71E6F"/>
    <w:rsid w:val="00C72015"/>
    <w:rsid w:val="00C7741B"/>
    <w:rsid w:val="00C83346"/>
    <w:rsid w:val="00C90856"/>
    <w:rsid w:val="00CE2DF2"/>
    <w:rsid w:val="00D15309"/>
    <w:rsid w:val="00D30CB4"/>
    <w:rsid w:val="00D41662"/>
    <w:rsid w:val="00D43361"/>
    <w:rsid w:val="00D64103"/>
    <w:rsid w:val="00D72E47"/>
    <w:rsid w:val="00D77D64"/>
    <w:rsid w:val="00D90C7A"/>
    <w:rsid w:val="00D93EA9"/>
    <w:rsid w:val="00D969A4"/>
    <w:rsid w:val="00D97F6F"/>
    <w:rsid w:val="00DB341C"/>
    <w:rsid w:val="00DB61AA"/>
    <w:rsid w:val="00DC5EBC"/>
    <w:rsid w:val="00DD3E00"/>
    <w:rsid w:val="00DF5569"/>
    <w:rsid w:val="00DF73CA"/>
    <w:rsid w:val="00E1155A"/>
    <w:rsid w:val="00E133BA"/>
    <w:rsid w:val="00E2460B"/>
    <w:rsid w:val="00E62EF0"/>
    <w:rsid w:val="00E8457A"/>
    <w:rsid w:val="00E8461E"/>
    <w:rsid w:val="00E93F2B"/>
    <w:rsid w:val="00E97297"/>
    <w:rsid w:val="00EA1788"/>
    <w:rsid w:val="00EA776B"/>
    <w:rsid w:val="00EB7348"/>
    <w:rsid w:val="00EC4B21"/>
    <w:rsid w:val="00EC5A34"/>
    <w:rsid w:val="00EC7AA1"/>
    <w:rsid w:val="00ED1437"/>
    <w:rsid w:val="00ED2270"/>
    <w:rsid w:val="00ED2A5D"/>
    <w:rsid w:val="00EE38C5"/>
    <w:rsid w:val="00F00771"/>
    <w:rsid w:val="00F3620E"/>
    <w:rsid w:val="00F37294"/>
    <w:rsid w:val="00F43E36"/>
    <w:rsid w:val="00F51B55"/>
    <w:rsid w:val="00F53F4B"/>
    <w:rsid w:val="00F653E1"/>
    <w:rsid w:val="00F73F21"/>
    <w:rsid w:val="00F81242"/>
    <w:rsid w:val="00FA0FCE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3CE2"/>
  <w15:chartTrackingRefBased/>
  <w15:docId w15:val="{7D8FBA35-5564-4753-BD37-46FF30C0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4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B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3B0D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D7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B0D7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0D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B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EF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45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D227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227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0C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0C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0C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C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C5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14AF"/>
    <w:rPr>
      <w:color w:val="954F72" w:themeColor="followedHyperlink"/>
      <w:u w:val="single"/>
    </w:rPr>
  </w:style>
  <w:style w:type="paragraph" w:customStyle="1" w:styleId="xmsonormal">
    <w:name w:val="x_msonormal"/>
    <w:basedOn w:val="Standard"/>
    <w:rsid w:val="00C1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net.de/rezensionen/26476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pq.at/2020/quartal_04/413-415%20Akt%20theol%20Buch%20(ThPQ%204_2020)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inschwarz.net/religionspaedagogische-zeitreisen-wieviel-zukunft-steckt-in-den-68ern/" TargetMode="External"/><Relationship Id="rId11" Type="http://schemas.openxmlformats.org/officeDocument/2006/relationships/hyperlink" Target="https://static-content.springer.com/esm/chp%3A10.1007%2F978-3-658-28759-7_6/MediaObjects/476513_1_De_6_MOESM1_ESM.pdf" TargetMode="External"/><Relationship Id="rId5" Type="http://schemas.openxmlformats.org/officeDocument/2006/relationships/hyperlink" Target="https://www.amosinternational.de/user/pages/02.magazine/issue-2020-1/amos_20-1-S47-54%20Buchbesprechungen.pdf?g-2d78df69" TargetMode="External"/><Relationship Id="rId10" Type="http://schemas.openxmlformats.org/officeDocument/2006/relationships/hyperlink" Target="https://static-content.springer.com/esm/chp%3A10.1007%2F978-3-658-28759-7_5/MediaObjects/476513_1_De_5_MOESM1_ES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erf-journal.eu/index.php/oerf/article/view/223/21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2731</Words>
  <Characters>17209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Herbst</dc:creator>
  <cp:keywords/>
  <dc:description/>
  <cp:lastModifiedBy>Birger Boeven</cp:lastModifiedBy>
  <cp:revision>2</cp:revision>
  <dcterms:created xsi:type="dcterms:W3CDTF">2021-02-10T17:16:00Z</dcterms:created>
  <dcterms:modified xsi:type="dcterms:W3CDTF">2021-02-10T17:16:00Z</dcterms:modified>
</cp:coreProperties>
</file>